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152400" simplePos="0" locked="0" layoutInCell="1" allowOverlap="1" relativeHeight="2">
            <wp:simplePos x="0" y="0"/>
            <wp:positionH relativeFrom="column">
              <wp:posOffset>-762000</wp:posOffset>
            </wp:positionH>
            <wp:positionV relativeFrom="page">
              <wp:posOffset>0</wp:posOffset>
            </wp:positionV>
            <wp:extent cx="739140" cy="379095"/>
            <wp:effectExtent l="0" t="0" r="0" b="0"/>
            <wp:wrapNone/>
            <wp:docPr id="1" name="Изображение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a:hlinkClick r:id="rId3"/>
                    </pic:cNvPr>
                    <pic:cNvPicPr>
                      <a:picLocks noChangeAspect="1" noChangeArrowheads="1"/>
                    </pic:cNvPicPr>
                  </pic:nvPicPr>
                  <pic:blipFill>
                    <a:blip r:link="rId2"/>
                    <a:stretch>
                      <a:fillRect/>
                    </a:stretch>
                  </pic:blipFill>
                  <pic:spPr bwMode="auto">
                    <a:xfrm>
                      <a:off x="0" y="0"/>
                      <a:ext cx="739140" cy="379095"/>
                    </a:xfrm>
                    <a:prstGeom prst="rect">
                      <a:avLst/>
                    </a:prstGeom>
                  </pic:spPr>
                </pic:pic>
              </a:graphicData>
            </a:graphic>
          </wp:anchor>
        </w:drawing>
      </w:r>
    </w:p>
    <w:p>
      <w:pPr>
        <w:sectPr>
          <w:type w:val="nextPage"/>
          <w:pgSz w:w="11906" w:h="16838"/>
          <w:pgMar w:left="1134" w:right="1134" w:header="0" w:top="1134" w:footer="0" w:bottom="1134" w:gutter="0"/>
          <w:pgNumType w:fmt="decimal"/>
          <w:formProt w:val="false"/>
          <w:textDirection w:val="lrTb"/>
          <w:docGrid w:type="default" w:linePitch="600" w:charSpace="32768"/>
        </w:sectPr>
      </w:pPr>
    </w:p>
    <w:p>
      <w:pPr>
        <w:pStyle w:val="Normal"/>
        <w:bidi w:val="0"/>
        <w:jc w:val="left"/>
        <w:rPr/>
      </w:pPr>
      <w:r>
        <w:rPr/>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lineRule="auto" w:line="240" w:before="0" w:after="0"/>
        <w:jc w:val="left"/>
        <w:rPr>
          <w:rFonts w:ascii="Times New Roman" w:hAnsi="Times New Roman"/>
          <w:sz w:val="28"/>
          <w:szCs w:val="28"/>
        </w:rPr>
      </w:pPr>
      <w:r>
        <w:rPr>
          <w:rFonts w:ascii="Times New Roman" w:hAnsi="Times New Roman"/>
          <w:sz w:val="28"/>
          <w:szCs w:val="28"/>
        </w:rPr>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lineRule="auto" w:line="240" w:before="0" w:after="0"/>
        <w:jc w:val="left"/>
        <w:rPr>
          <w:rFonts w:ascii="Times New Roman" w:hAnsi="Times New Roman"/>
          <w:b/>
          <w:b/>
          <w:bCs/>
          <w:sz w:val="28"/>
          <w:szCs w:val="28"/>
        </w:rPr>
      </w:pPr>
      <w:r>
        <w:rPr>
          <w:rFonts w:ascii="Times New Roman" w:hAnsi="Times New Roman"/>
          <w:b/>
          <w:bCs/>
          <w:sz w:val="28"/>
          <w:szCs w:val="28"/>
        </w:rPr>
        <w:t xml:space="preserve">Прокурор разъясняет </w:t>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lineRule="auto" w:line="240" w:before="0" w:after="0"/>
        <w:jc w:val="left"/>
        <w:rPr>
          <w:rFonts w:ascii="Times New Roman" w:hAnsi="Times New Roman"/>
          <w:b/>
          <w:color w:val="333333"/>
          <w:sz w:val="28"/>
          <w:szCs w:val="28"/>
        </w:rPr>
      </w:pPr>
      <w:r>
        <w:rPr>
          <w:rFonts w:ascii="Times New Roman" w:hAnsi="Times New Roman"/>
          <w:b/>
          <w:color w:val="333333"/>
          <w:sz w:val="28"/>
          <w:szCs w:val="28"/>
        </w:rPr>
        <w:t xml:space="preserve">         </w:t>
      </w:r>
      <w:r>
        <w:rPr>
          <w:rFonts w:ascii="Times New Roman" w:hAnsi="Times New Roman"/>
          <w:b/>
          <w:color w:val="333333"/>
          <w:sz w:val="28"/>
          <w:szCs w:val="28"/>
        </w:rPr>
        <w:t>Об ответственности за пропаганду нацистской атрибутики</w:t>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lineRule="auto" w:line="240" w:before="0" w:after="0"/>
        <w:ind w:left="0" w:right="720" w:hanging="0"/>
        <w:jc w:val="left"/>
        <w:rPr>
          <w:rFonts w:ascii="Times New Roman" w:hAnsi="Times New Roman"/>
          <w:color w:val="FFFFFF"/>
          <w:sz w:val="28"/>
          <w:szCs w:val="28"/>
          <w:highlight w:val="darkBlue"/>
        </w:rPr>
      </w:pPr>
      <w:r>
        <w:rPr>
          <w:rFonts w:ascii="Times New Roman" w:hAnsi="Times New Roman"/>
          <w:color w:val="FFFFFF"/>
          <w:sz w:val="28"/>
          <w:szCs w:val="28"/>
          <w:highlight w:val="darkBlue"/>
        </w:rPr>
      </w:r>
    </w:p>
    <w:p>
      <w:pPr>
        <w:pStyle w:val="Style15"/>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Статьей 20.3 КоАП РФ установлена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w:t>
      </w:r>
    </w:p>
    <w:p>
      <w:pPr>
        <w:pStyle w:val="Style15"/>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Указанные действия влекут наложение административного штрафа на граждан в размере от 1 до 2 тыс. руб. с конфискацией предмета административного правонарушения либо административный арест на срок до 15 суток с конфискацией предмета административного правонарушения; на должностных лиц - от 1 до 4 тыс. руб. с конфискацией предмета административного правонарушения; на юридических лиц – от 10 до 15 тыс. руб. с конфискацией предмета административного правонарушения.</w:t>
      </w:r>
    </w:p>
    <w:p>
      <w:pPr>
        <w:pStyle w:val="Style15"/>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За изготовление или сбыт в целях пропаганды либо приобретение в целях сбыта или пропаганды нацистской атрибутики или символики, в том числе публичное демонстрирование которых запрещены федеральными законами, предусмотрена административная ответственность с назначением наказания в виде штрафа на граждан в размере от 1 до 2,5 тыс. руб. с конфискацией предмета административного правонарушения; на должностных лиц - от 2 до 5 тыс. руб. с конфискацией предмета административного правонарушения; на юридических лиц - от 20 до 100 тыс. руб. с конфискацией предмета административного правонарушения.</w:t>
      </w:r>
    </w:p>
    <w:p>
      <w:pPr>
        <w:pStyle w:val="Style15"/>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Срок давности привлечения к административной ответственности за совершение административных правонарушений, предусмотренных статьей 20.3 КоАП РФ, составляет 3 месяца со дня совершения административного правонарушения.</w:t>
      </w:r>
    </w:p>
    <w:p>
      <w:pPr>
        <w:pStyle w:val="Style15"/>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r>
    </w:p>
    <w:p>
      <w:pPr>
        <w:pStyle w:val="Style15"/>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Заместитель межрайонного прокурора</w:t>
      </w:r>
    </w:p>
    <w:p>
      <w:pPr>
        <w:pStyle w:val="Style15"/>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советник юстиции                                                                               Н.В. Лопотова</w:t>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lineRule="atLeast" w:line="360" w:before="0" w:after="0"/>
        <w:ind w:left="0" w:right="0" w:hanging="0"/>
        <w:jc w:val="left"/>
        <w:rPr/>
      </w:pPr>
      <w:hyperlink r:id="rId4">
        <w:r>
          <w:rPr>
            <w:b/>
          </w:rPr>
        </w:r>
      </w:hyperlink>
    </w:p>
    <w:p>
      <w:pPr>
        <w:pStyle w:val="Normal"/>
        <w:bidi w:val="0"/>
        <w:spacing w:lineRule="atLeast" w:line="360" w:before="240" w:after="283"/>
        <w:ind w:left="0" w:right="240" w:hanging="0"/>
        <w:jc w:val="left"/>
        <w:rPr>
          <w:strike w:val="false"/>
          <w:dstrike w:val="false"/>
          <w:color w:val="4062C4"/>
          <w:sz w:val="21"/>
          <w:u w:val="none"/>
          <w:effect w:val="none"/>
        </w:rPr>
      </w:pPr>
      <w:r>
        <w:rPr>
          <w:strike w:val="false"/>
          <w:dstrike w:val="false"/>
          <w:color w:val="4062C4"/>
          <w:sz w:val="21"/>
          <w:u w:val="none"/>
          <w:effect w:val="none"/>
        </w:rPr>
      </w:r>
    </w:p>
    <w:p>
      <w:pPr>
        <w:sectPr>
          <w:type w:val="continuous"/>
          <w:pgSz w:w="11906" w:h="16838"/>
          <w:pgMar w:left="1134" w:right="1134" w:header="0" w:top="1134" w:footer="0" w:bottom="1134" w:gutter="0"/>
          <w:pgNumType w:fmt="decimal"/>
          <w:formProt w:val="false"/>
          <w:textDirection w:val="lrTb"/>
          <w:docGrid w:type="default" w:linePitch="600" w:charSpace="32768"/>
        </w:sectPr>
      </w:pPr>
    </w:p>
    <w:p>
      <w:pPr>
        <w:pStyle w:val="Normal"/>
        <w:bidi w:val="0"/>
        <w:spacing w:lineRule="atLeast" w:line="360" w:before="0" w:after="0"/>
        <w:ind w:left="0" w:right="0" w:hanging="0"/>
        <w:jc w:val="left"/>
        <w:rPr>
          <w:b/>
          <w:strike w:val="false"/>
          <w:dstrike w:val="false"/>
          <w:color w:val="000000"/>
          <w:sz w:val="24"/>
          <w:u w:val="none"/>
          <w:effect w:val="none"/>
        </w:rPr>
      </w:pPr>
      <w:r>
        <w:rPr>
          <w:b/>
          <w:strike w:val="false"/>
          <w:dstrike w:val="false"/>
          <w:color w:val="000000"/>
          <w:sz w:val="24"/>
          <w:u w:val="none"/>
          <w:effect w:val="none"/>
        </w:rPr>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lineRule="atLeast" w:line="360" w:before="0" w:after="0"/>
        <w:ind w:left="0" w:right="0" w:hanging="0"/>
        <w:jc w:val="left"/>
        <w:rPr>
          <w:sz w:val="21"/>
        </w:rPr>
      </w:pPr>
      <w:r>
        <w:rPr>
          <w:sz w:val="21"/>
        </w:rPr>
      </w:r>
      <w:bookmarkStart w:id="0" w:name="sputnik-informer"/>
      <w:bookmarkStart w:id="1" w:name="sputnik-informer"/>
      <w:bookmarkEnd w:id="1"/>
    </w:p>
    <w:p>
      <w:pPr>
        <w:pStyle w:val="Normal"/>
        <w:bidi w:val="0"/>
        <w:jc w:val="left"/>
        <w:rPr/>
      </w:pPr>
      <w:r>
        <w:rPr/>
      </w:r>
    </w:p>
    <w:sectPr>
      <w:type w:val="continuous"/>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90"/>
  <w:defaultTabStop w:val="1134"/>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egoe UI" w:cs="Tahoma"/>
      <w:color w:val="000000"/>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Body Text"/>
    <w:basedOn w:val="Normal"/>
    <w:pPr>
      <w:spacing w:lineRule="auto" w:line="276" w:before="0" w:after="28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s://epp.genproc.gov.ru/o/gpparf-public/images/logo.png" TargetMode="External"/><Relationship Id="rId3" Type="http://schemas.openxmlformats.org/officeDocument/2006/relationships/hyperlink" Target="https://epp.genproc.gov.ru/web/proc_69" TargetMode="External"/><Relationship Id="rId4" Type="http://schemas.openxmlformats.org/officeDocument/2006/relationships/hyperlink" Target="https://epp.genproc.gov.ru/web/proc_69"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LibreOffice/6.4.7.2$Windows_X86_64 LibreOffice_project/639b8ac485750d5696d7590a72ef1b496725cfb5</Application>
  <Pages>1</Pages>
  <Words>226</Words>
  <Characters>1588</Characters>
  <CharactersWithSpaces>1914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2024-09-17T12:44:01Z</dcterms:modified>
  <cp:revision>1</cp:revision>
  <dc:subject/>
  <dc:title/>
</cp:coreProperties>
</file>